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A6704" w14:textId="0AEF0775" w:rsidR="008900F6" w:rsidRPr="0074590A" w:rsidRDefault="008900F6" w:rsidP="008900F6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Meeting #98  </w:t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  <w:t xml:space="preserve">                                                                 </w:t>
      </w:r>
      <w:r>
        <w:rPr>
          <w:rFonts w:cs="Arial"/>
          <w:b/>
          <w:sz w:val="24"/>
          <w:lang w:val="en-GB"/>
        </w:rPr>
        <w:tab/>
      </w:r>
      <w:r w:rsidRPr="00F5600A">
        <w:rPr>
          <w:rFonts w:cs="Arial"/>
          <w:b/>
          <w:sz w:val="24"/>
          <w:lang w:val="en-GB"/>
        </w:rPr>
        <w:t>R1-19</w:t>
      </w:r>
      <w:r>
        <w:rPr>
          <w:rFonts w:cs="Arial"/>
          <w:b/>
          <w:sz w:val="24"/>
          <w:lang w:val="en-GB"/>
        </w:rPr>
        <w:t>08337</w:t>
      </w:r>
    </w:p>
    <w:p w14:paraId="1C4EE8C9" w14:textId="77777777" w:rsidR="008900F6" w:rsidRPr="00EA743A" w:rsidRDefault="008900F6" w:rsidP="008900F6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Prague, Czech Republic, August 26</w:t>
      </w:r>
      <w:r>
        <w:rPr>
          <w:rFonts w:cs="Arial"/>
          <w:b/>
          <w:sz w:val="24"/>
          <w:vertAlign w:val="superscript"/>
          <w:lang w:val="en-GB"/>
        </w:rPr>
        <w:t>th</w:t>
      </w:r>
      <w:r w:rsidRPr="00637D76">
        <w:rPr>
          <w:rFonts w:cs="Arial"/>
          <w:b/>
          <w:sz w:val="24"/>
          <w:lang w:val="en-GB"/>
        </w:rPr>
        <w:t xml:space="preserve"> – </w:t>
      </w:r>
      <w:r>
        <w:rPr>
          <w:rFonts w:cs="Arial"/>
          <w:b/>
          <w:sz w:val="24"/>
          <w:lang w:val="en-GB"/>
        </w:rPr>
        <w:t>30</w:t>
      </w:r>
      <w:r w:rsidRPr="0078042F">
        <w:rPr>
          <w:rFonts w:cs="Arial"/>
          <w:b/>
          <w:sz w:val="24"/>
          <w:vertAlign w:val="superscript"/>
          <w:lang w:val="en-GB"/>
        </w:rPr>
        <w:t>th</w:t>
      </w:r>
      <w:r w:rsidRPr="00637D76">
        <w:rPr>
          <w:rFonts w:cs="Arial"/>
          <w:b/>
          <w:sz w:val="24"/>
          <w:lang w:val="en-GB"/>
        </w:rPr>
        <w:t>, 2019</w:t>
      </w:r>
    </w:p>
    <w:p w14:paraId="27CC8F42" w14:textId="75E6117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080F03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774275">
        <w:rPr>
          <w:b/>
          <w:sz w:val="24"/>
          <w:szCs w:val="24"/>
        </w:rPr>
        <w:t>5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4C927F0A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774275" w:rsidRPr="00774275">
        <w:rPr>
          <w:b/>
          <w:sz w:val="24"/>
          <w:szCs w:val="24"/>
        </w:rPr>
        <w:t>Wideband Operation for NR-U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4020F0BB" w:rsidR="00BC07D6" w:rsidRDefault="00017FFD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</w:t>
      </w:r>
      <w:r w:rsidR="00CE01CF">
        <w:rPr>
          <w:rFonts w:ascii="Calibri" w:hAnsi="Calibri"/>
        </w:rPr>
        <w:t>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the </w:t>
      </w:r>
      <w:r w:rsidR="003A2DB2">
        <w:rPr>
          <w:rFonts w:ascii="Calibri" w:hAnsi="Calibri"/>
        </w:rPr>
        <w:t>R</w:t>
      </w:r>
      <w:r>
        <w:rPr>
          <w:rFonts w:ascii="Calibri" w:hAnsi="Calibri"/>
        </w:rPr>
        <w:t xml:space="preserve">AN1 </w:t>
      </w:r>
      <w:r w:rsidR="00CF0001">
        <w:rPr>
          <w:rFonts w:ascii="Calibri" w:hAnsi="Calibri"/>
        </w:rPr>
        <w:t>#97</w:t>
      </w:r>
      <w:r>
        <w:rPr>
          <w:rFonts w:ascii="Calibri" w:hAnsi="Calibri"/>
        </w:rPr>
        <w:t xml:space="preserve"> meeting, several agreements were reached on </w:t>
      </w:r>
      <w:r w:rsidR="00774275">
        <w:rPr>
          <w:rFonts w:ascii="Calibri" w:hAnsi="Calibri"/>
        </w:rPr>
        <w:t>wideband operation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_Ref878098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50F285B8" w14:textId="77777777" w:rsidR="00CF0001" w:rsidRDefault="00CF0001" w:rsidP="00CF0001">
      <w:r w:rsidRPr="00F45643">
        <w:rPr>
          <w:highlight w:val="green"/>
        </w:rPr>
        <w:t>Agreement:</w:t>
      </w:r>
    </w:p>
    <w:p w14:paraId="0300D1B1" w14:textId="77777777" w:rsidR="00CF0001" w:rsidRPr="00F73C0C" w:rsidRDefault="00CF0001" w:rsidP="00CF0001">
      <w:pPr>
        <w:pStyle w:val="ListParagraph"/>
        <w:spacing w:after="160" w:line="252" w:lineRule="auto"/>
        <w:ind w:left="0"/>
        <w:rPr>
          <w:sz w:val="24"/>
        </w:rPr>
      </w:pPr>
      <w:r w:rsidRPr="00C34CF5">
        <w:rPr>
          <w:lang w:eastAsia="ko-KR"/>
        </w:rPr>
        <w:t xml:space="preserve">When GC-PDCCH is configured, explicit </w:t>
      </w:r>
      <w:r w:rsidRPr="00960F19">
        <w:rPr>
          <w:lang w:eastAsia="ko-KR"/>
        </w:rPr>
        <w:t>indication via GC-PDCCH is supported as a mechanism to inform</w:t>
      </w:r>
      <w:r w:rsidRPr="00F73C0C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F73C0C">
        <w:rPr>
          <w:lang w:eastAsia="ko-KR"/>
        </w:rPr>
        <w:t xml:space="preserve">UE that one or more carriers and/or LBT bandwidths are not available </w:t>
      </w:r>
      <w:r>
        <w:rPr>
          <w:lang w:eastAsia="ko-KR"/>
        </w:rPr>
        <w:t xml:space="preserve">or available </w:t>
      </w:r>
      <w:r w:rsidRPr="00F73C0C">
        <w:rPr>
          <w:lang w:eastAsia="ko-KR"/>
        </w:rPr>
        <w:t>for DL reception, at least for slot(s) that are not at the beginning of DL transmission burst.</w:t>
      </w:r>
    </w:p>
    <w:p w14:paraId="517931B7" w14:textId="77777777" w:rsidR="00CF0001" w:rsidRPr="00F73C0C" w:rsidRDefault="00CF0001" w:rsidP="00575208">
      <w:pPr>
        <w:pStyle w:val="ListParagraph"/>
        <w:numPr>
          <w:ilvl w:val="0"/>
          <w:numId w:val="8"/>
        </w:numPr>
        <w:spacing w:before="0" w:after="160" w:line="252" w:lineRule="auto"/>
        <w:ind w:left="360"/>
        <w:jc w:val="left"/>
        <w:rPr>
          <w:lang w:eastAsia="zh-CN"/>
        </w:rPr>
      </w:pPr>
      <w:r w:rsidRPr="00F73C0C">
        <w:rPr>
          <w:lang w:eastAsia="ko-KR"/>
        </w:rPr>
        <w:t>FFS: Signalling details of the indication, including e.g., the time domain validity of the indication</w:t>
      </w:r>
    </w:p>
    <w:p w14:paraId="31751F16" w14:textId="77777777" w:rsidR="00CF0001" w:rsidRPr="00F73C0C" w:rsidRDefault="00CF0001" w:rsidP="00575208">
      <w:pPr>
        <w:pStyle w:val="ListParagraph"/>
        <w:numPr>
          <w:ilvl w:val="0"/>
          <w:numId w:val="8"/>
        </w:numPr>
        <w:spacing w:before="0" w:after="160" w:line="252" w:lineRule="auto"/>
        <w:ind w:left="360"/>
        <w:jc w:val="left"/>
        <w:rPr>
          <w:lang w:eastAsia="ko-KR"/>
        </w:rPr>
      </w:pPr>
      <w:r w:rsidRPr="00F73C0C">
        <w:rPr>
          <w:lang w:eastAsia="ko-KR"/>
        </w:rPr>
        <w:t>FFS: Whether and how to support the mechanism at the beginning of DL transmission burst</w:t>
      </w:r>
    </w:p>
    <w:p w14:paraId="75366528" w14:textId="77777777" w:rsidR="00CF0001" w:rsidRPr="00C34CF5" w:rsidRDefault="00CF0001" w:rsidP="00575208">
      <w:pPr>
        <w:pStyle w:val="ListParagraph"/>
        <w:numPr>
          <w:ilvl w:val="0"/>
          <w:numId w:val="8"/>
        </w:numPr>
        <w:spacing w:before="0" w:after="160" w:line="252" w:lineRule="auto"/>
        <w:ind w:left="360"/>
        <w:jc w:val="left"/>
        <w:rPr>
          <w:lang w:eastAsia="ko-KR"/>
        </w:rPr>
      </w:pPr>
      <w:r w:rsidRPr="00F73C0C">
        <w:rPr>
          <w:lang w:eastAsia="ko-KR"/>
        </w:rPr>
        <w:t xml:space="preserve">FFS: </w:t>
      </w:r>
      <w:r>
        <w:rPr>
          <w:lang w:eastAsia="ko-KR"/>
        </w:rPr>
        <w:t>Whether and h</w:t>
      </w:r>
      <w:r w:rsidRPr="00F73C0C">
        <w:rPr>
          <w:lang w:eastAsia="ko-KR"/>
        </w:rPr>
        <w:t>ow to handle the case when GC-PDCCH i</w:t>
      </w:r>
      <w:r w:rsidRPr="00C34CF5">
        <w:rPr>
          <w:lang w:eastAsia="ko-KR"/>
        </w:rPr>
        <w:t xml:space="preserve">s not configured </w:t>
      </w:r>
      <w:r>
        <w:rPr>
          <w:lang w:eastAsia="ko-KR"/>
        </w:rPr>
        <w:t>or not received by the UE</w:t>
      </w:r>
    </w:p>
    <w:p w14:paraId="42D3AB63" w14:textId="77777777" w:rsidR="00CF0001" w:rsidRPr="006F1B5D" w:rsidRDefault="00CF0001" w:rsidP="00CF0001">
      <w:pPr>
        <w:rPr>
          <w:u w:val="single"/>
        </w:rPr>
      </w:pPr>
      <w:r w:rsidRPr="006F1B5D">
        <w:rPr>
          <w:u w:val="single"/>
        </w:rPr>
        <w:t>Conclusion:</w:t>
      </w:r>
    </w:p>
    <w:p w14:paraId="4D62D88B" w14:textId="77777777" w:rsidR="00CF0001" w:rsidRDefault="00CF0001" w:rsidP="00CF0001">
      <w:pPr>
        <w:pStyle w:val="ListParagraph"/>
        <w:spacing w:after="160" w:line="252" w:lineRule="auto"/>
        <w:ind w:left="0"/>
        <w:rPr>
          <w:lang w:eastAsia="zh-CN"/>
        </w:rPr>
      </w:pPr>
      <w:r>
        <w:rPr>
          <w:lang w:eastAsia="ko-KR"/>
        </w:rPr>
        <w:t xml:space="preserve">A </w:t>
      </w:r>
      <w:r w:rsidRPr="00C34CF5">
        <w:rPr>
          <w:lang w:eastAsia="ko-KR"/>
        </w:rPr>
        <w:t xml:space="preserve">UE </w:t>
      </w:r>
      <w:r>
        <w:rPr>
          <w:lang w:eastAsia="ko-KR"/>
        </w:rPr>
        <w:t xml:space="preserve">can </w:t>
      </w:r>
      <w:r w:rsidRPr="00C34CF5">
        <w:rPr>
          <w:lang w:eastAsia="ko-KR"/>
        </w:rPr>
        <w:t>receive</w:t>
      </w:r>
      <w:r>
        <w:rPr>
          <w:lang w:eastAsia="ko-KR"/>
        </w:rPr>
        <w:t xml:space="preserve"> </w:t>
      </w:r>
      <w:r w:rsidRPr="00C34CF5">
        <w:rPr>
          <w:lang w:eastAsia="ko-KR"/>
        </w:rPr>
        <w:t xml:space="preserve">a PDSCH </w:t>
      </w:r>
      <w:r>
        <w:rPr>
          <w:lang w:eastAsia="ko-KR"/>
        </w:rPr>
        <w:t>scheduled</w:t>
      </w:r>
      <w:r w:rsidRPr="00C34CF5">
        <w:rPr>
          <w:lang w:eastAsia="ko-KR"/>
        </w:rPr>
        <w:t xml:space="preserve"> within a</w:t>
      </w:r>
      <w:r>
        <w:rPr>
          <w:lang w:eastAsia="ko-KR"/>
        </w:rPr>
        <w:t>n</w:t>
      </w:r>
      <w:r w:rsidRPr="00C34CF5">
        <w:rPr>
          <w:lang w:eastAsia="ko-KR"/>
        </w:rPr>
        <w:t xml:space="preserve"> LBT bandwidth or over multiple LBT bandwidths</w:t>
      </w:r>
      <w:r>
        <w:rPr>
          <w:lang w:eastAsia="ko-KR"/>
        </w:rPr>
        <w:t xml:space="preserve"> as per Rel-15 and current agreements in Rel-16.</w:t>
      </w:r>
    </w:p>
    <w:p w14:paraId="7002AAA4" w14:textId="77777777" w:rsidR="00017FFD" w:rsidRDefault="00017FFD" w:rsidP="0058113E">
      <w:pPr>
        <w:pStyle w:val="maintext"/>
        <w:ind w:firstLineChars="0" w:firstLine="0"/>
        <w:rPr>
          <w:rFonts w:ascii="Calibri" w:hAnsi="Calibri"/>
        </w:rPr>
      </w:pPr>
    </w:p>
    <w:p w14:paraId="5C44AC42" w14:textId="06020171" w:rsidR="00F33B94" w:rsidRDefault="00017FFD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contribution discusses open issues as captured</w:t>
      </w:r>
      <w:r w:rsidR="003A2DB2">
        <w:rPr>
          <w:rFonts w:ascii="Calibri" w:hAnsi="Calibri"/>
        </w:rPr>
        <w:t xml:space="preserve"> above and</w:t>
      </w:r>
      <w:r>
        <w:rPr>
          <w:rFonts w:ascii="Calibri" w:hAnsi="Calibri"/>
        </w:rPr>
        <w:t xml:space="preserve"> in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_Ref878141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 w:rsidR="002E6B75">
        <w:rPr>
          <w:rFonts w:ascii="Calibri" w:hAnsi="Calibri"/>
        </w:rPr>
        <w:t>[3</w:t>
      </w:r>
      <w:r>
        <w:rPr>
          <w:rFonts w:ascii="Calibri" w:hAnsi="Calibri"/>
        </w:rPr>
        <w:t>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.</w:t>
      </w:r>
    </w:p>
    <w:p w14:paraId="7E833F0D" w14:textId="45E57555" w:rsidR="00B94AAD" w:rsidRDefault="00E251EC" w:rsidP="00257F9A">
      <w:pPr>
        <w:pStyle w:val="Heading1"/>
      </w:pPr>
      <w:r>
        <w:t xml:space="preserve">NR-U </w:t>
      </w:r>
      <w:r w:rsidR="00C60BA7">
        <w:t>Wideband Operation</w:t>
      </w:r>
    </w:p>
    <w:p w14:paraId="754B61CC" w14:textId="77777777" w:rsidR="00B5169C" w:rsidRDefault="00B5169C" w:rsidP="00A921DD">
      <w:pPr>
        <w:rPr>
          <w:b/>
        </w:rPr>
      </w:pPr>
    </w:p>
    <w:p w14:paraId="02DDAF7C" w14:textId="247D4760" w:rsidR="00F5600A" w:rsidRDefault="00CF0001" w:rsidP="00A03AAC">
      <w:pPr>
        <w:pStyle w:val="Heading2"/>
      </w:pPr>
      <w:r>
        <w:t>GC-PDCCH Aspects</w:t>
      </w:r>
    </w:p>
    <w:p w14:paraId="4F231A07" w14:textId="50B728BC" w:rsidR="00815DB8" w:rsidRDefault="00F5600A" w:rsidP="00815DB8">
      <w:pPr>
        <w:pStyle w:val="ListParagraph"/>
        <w:spacing w:after="160" w:line="252" w:lineRule="auto"/>
        <w:ind w:left="0"/>
        <w:rPr>
          <w:lang w:eastAsia="ko-KR"/>
        </w:rPr>
      </w:pPr>
      <w:r>
        <w:t>One of the key questions for wideband operation is w</w:t>
      </w:r>
      <w:r w:rsidRPr="00F5600A">
        <w:t>hether/how to indicate gNB’s transmitted LBT sub-bands</w:t>
      </w:r>
      <w:r>
        <w:t xml:space="preserve">. </w:t>
      </w:r>
      <w:r w:rsidR="00815DB8">
        <w:t xml:space="preserve">It has been agreed that </w:t>
      </w:r>
      <w:r w:rsidR="00815DB8">
        <w:rPr>
          <w:lang w:eastAsia="ko-KR"/>
        </w:rPr>
        <w:t>w</w:t>
      </w:r>
      <w:r w:rsidR="00815DB8" w:rsidRPr="00C34CF5">
        <w:rPr>
          <w:lang w:eastAsia="ko-KR"/>
        </w:rPr>
        <w:t xml:space="preserve">hen GC-PDCCH is configured, explicit </w:t>
      </w:r>
      <w:r w:rsidR="00815DB8" w:rsidRPr="00960F19">
        <w:rPr>
          <w:lang w:eastAsia="ko-KR"/>
        </w:rPr>
        <w:t>indication via GC-PDCCH is supported as a mechanism to inform</w:t>
      </w:r>
      <w:r w:rsidR="00815DB8" w:rsidRPr="00F73C0C">
        <w:rPr>
          <w:lang w:eastAsia="ko-KR"/>
        </w:rPr>
        <w:t xml:space="preserve"> </w:t>
      </w:r>
      <w:r w:rsidR="00815DB8">
        <w:rPr>
          <w:lang w:eastAsia="ko-KR"/>
        </w:rPr>
        <w:t xml:space="preserve">the </w:t>
      </w:r>
      <w:r w:rsidR="00815DB8" w:rsidRPr="00F73C0C">
        <w:rPr>
          <w:lang w:eastAsia="ko-KR"/>
        </w:rPr>
        <w:t xml:space="preserve">UE that one or more carriers and/or LBT bandwidths are not available </w:t>
      </w:r>
      <w:r w:rsidR="00815DB8">
        <w:rPr>
          <w:lang w:eastAsia="ko-KR"/>
        </w:rPr>
        <w:t xml:space="preserve">or available </w:t>
      </w:r>
      <w:r w:rsidR="00815DB8" w:rsidRPr="00F73C0C">
        <w:rPr>
          <w:lang w:eastAsia="ko-KR"/>
        </w:rPr>
        <w:t>for DL reception, at least for slot(s) that are not at the beginning of DL transmission burst.</w:t>
      </w:r>
    </w:p>
    <w:p w14:paraId="1DA2A418" w14:textId="037DE080" w:rsidR="00F5440E" w:rsidRDefault="00F5440E" w:rsidP="00815DB8">
      <w:pPr>
        <w:pStyle w:val="ListParagraph"/>
        <w:spacing w:after="160" w:line="252" w:lineRule="auto"/>
        <w:ind w:left="0"/>
        <w:rPr>
          <w:lang w:eastAsia="ko-KR"/>
        </w:rPr>
      </w:pPr>
    </w:p>
    <w:p w14:paraId="0F1A2F52" w14:textId="24C9E94A" w:rsidR="00F5440E" w:rsidRPr="00F73C0C" w:rsidRDefault="00F5440E" w:rsidP="00815DB8">
      <w:pPr>
        <w:pStyle w:val="ListParagraph"/>
        <w:spacing w:after="160" w:line="252" w:lineRule="auto"/>
        <w:ind w:left="0"/>
        <w:rPr>
          <w:sz w:val="24"/>
        </w:rPr>
      </w:pPr>
      <w:r>
        <w:rPr>
          <w:lang w:eastAsia="ko-KR"/>
        </w:rPr>
        <w:t>The closest analogue to NR-U GC-PDCCH is the eLAA C-PDCCH, which carries information regarding the FS3 DL-UL</w:t>
      </w:r>
      <w:r w:rsidR="00E47678">
        <w:rPr>
          <w:lang w:eastAsia="ko-KR"/>
        </w:rPr>
        <w:t xml:space="preserve"> time-domain</w:t>
      </w:r>
      <w:r>
        <w:rPr>
          <w:lang w:eastAsia="ko-KR"/>
        </w:rPr>
        <w:t xml:space="preserve"> resource allocation. </w:t>
      </w:r>
      <w:r w:rsidR="00F024F5">
        <w:rPr>
          <w:lang w:eastAsia="ko-KR"/>
        </w:rPr>
        <w:t xml:space="preserve">The time-domain validity of C-PDCCH spans one or more subframes within a TXOP, and a new C-PDCCH can override a prior C-PDCCH. </w:t>
      </w:r>
      <w:r w:rsidR="006D6476">
        <w:rPr>
          <w:lang w:eastAsia="ko-KR"/>
        </w:rPr>
        <w:t xml:space="preserve">For NR-U, </w:t>
      </w:r>
      <w:r w:rsidR="00322409">
        <w:rPr>
          <w:lang w:eastAsia="ko-KR"/>
        </w:rPr>
        <w:t xml:space="preserve">it is possible that </w:t>
      </w:r>
      <w:r w:rsidR="00322409">
        <w:rPr>
          <w:lang w:eastAsia="ko-KR"/>
        </w:rPr>
        <w:t>the sub-bands occupied by the gNB within a shared COT</w:t>
      </w:r>
      <w:r w:rsidR="00322409">
        <w:rPr>
          <w:lang w:eastAsia="ko-KR"/>
        </w:rPr>
        <w:t xml:space="preserve"> </w:t>
      </w:r>
      <w:r w:rsidR="00322409">
        <w:rPr>
          <w:lang w:eastAsia="ko-KR"/>
        </w:rPr>
        <w:t>with multiple switching points</w:t>
      </w:r>
      <w:r w:rsidR="00322409">
        <w:rPr>
          <w:lang w:eastAsia="ko-KR"/>
        </w:rPr>
        <w:t xml:space="preserve"> </w:t>
      </w:r>
      <w:r w:rsidR="00322409">
        <w:rPr>
          <w:lang w:eastAsia="ko-KR"/>
        </w:rPr>
        <w:t>can change due to different DL LBT outcomes.</w:t>
      </w:r>
      <w:r w:rsidR="00090776">
        <w:rPr>
          <w:lang w:eastAsia="ko-KR"/>
        </w:rPr>
        <w:t xml:space="preserve"> Therefore, the GC-PDCCH indication validity should be over each DL burst within a shared COT.</w:t>
      </w:r>
    </w:p>
    <w:p w14:paraId="61EAED16" w14:textId="4A445192" w:rsidR="001F6D27" w:rsidRDefault="001F6D27" w:rsidP="00815DB8"/>
    <w:p w14:paraId="75E66C75" w14:textId="4FF58247" w:rsidR="00F5600A" w:rsidRPr="00F5600A" w:rsidRDefault="00F5600A" w:rsidP="00F5600A">
      <w:pPr>
        <w:rPr>
          <w:b/>
        </w:rPr>
      </w:pPr>
      <w:r w:rsidRPr="00F5600A">
        <w:rPr>
          <w:b/>
        </w:rPr>
        <w:t>Proposal 1</w:t>
      </w:r>
      <w:r w:rsidRPr="00090776">
        <w:rPr>
          <w:b/>
        </w:rPr>
        <w:t xml:space="preserve">: </w:t>
      </w:r>
      <w:r w:rsidR="00090776">
        <w:rPr>
          <w:b/>
        </w:rPr>
        <w:t>T</w:t>
      </w:r>
      <w:r w:rsidR="00090776" w:rsidRPr="00090776">
        <w:rPr>
          <w:b/>
          <w:lang w:eastAsia="ko-KR"/>
        </w:rPr>
        <w:t>he GC-PDCCH indication</w:t>
      </w:r>
      <w:r w:rsidR="00090776" w:rsidRPr="00090776">
        <w:rPr>
          <w:b/>
          <w:lang w:eastAsia="ko-KR"/>
        </w:rPr>
        <w:t xml:space="preserve"> time-domain</w:t>
      </w:r>
      <w:r w:rsidR="00090776" w:rsidRPr="00090776">
        <w:rPr>
          <w:b/>
          <w:lang w:eastAsia="ko-KR"/>
        </w:rPr>
        <w:t xml:space="preserve"> validity </w:t>
      </w:r>
      <w:r w:rsidR="00090776" w:rsidRPr="00090776">
        <w:rPr>
          <w:b/>
          <w:lang w:eastAsia="ko-KR"/>
        </w:rPr>
        <w:t>spans</w:t>
      </w:r>
      <w:r w:rsidR="008D56CF">
        <w:rPr>
          <w:b/>
          <w:lang w:eastAsia="ko-KR"/>
        </w:rPr>
        <w:t xml:space="preserve"> a</w:t>
      </w:r>
      <w:r w:rsidR="00090776" w:rsidRPr="00090776">
        <w:rPr>
          <w:b/>
          <w:lang w:eastAsia="ko-KR"/>
        </w:rPr>
        <w:t xml:space="preserve"> DL burst</w:t>
      </w:r>
      <w:r w:rsidR="008D56CF">
        <w:rPr>
          <w:b/>
          <w:lang w:eastAsia="ko-KR"/>
        </w:rPr>
        <w:t>(s)</w:t>
      </w:r>
      <w:r w:rsidR="00090776" w:rsidRPr="00090776">
        <w:rPr>
          <w:b/>
          <w:lang w:eastAsia="ko-KR"/>
        </w:rPr>
        <w:t xml:space="preserve"> within a shared COT</w:t>
      </w:r>
      <w:r w:rsidR="00090776" w:rsidRPr="00090776">
        <w:rPr>
          <w:b/>
          <w:lang w:eastAsia="ko-KR"/>
        </w:rPr>
        <w:t>.</w:t>
      </w:r>
    </w:p>
    <w:p w14:paraId="488F1306" w14:textId="71077AF8" w:rsidR="00672B47" w:rsidRDefault="00672B47" w:rsidP="00672B47"/>
    <w:p w14:paraId="47057A0C" w14:textId="251EAB79" w:rsidR="00E47678" w:rsidRDefault="00E47678" w:rsidP="00672B47">
      <w:r>
        <w:lastRenderedPageBreak/>
        <w:t xml:space="preserve">The UE may not be able to immediately receive GC-PDCCH at the start of the DL burst, since it is not clear if GC-PDCCH will be transmitted on each occupied LBT sub-band. Some UE uncertainty regarding sub-band occupancy is unavoidable at the start of the burst, and </w:t>
      </w:r>
      <w:r w:rsidR="008D56CF">
        <w:t>DMRS detection can be used to infer sub-band occupancy.</w:t>
      </w:r>
    </w:p>
    <w:p w14:paraId="24A5157B" w14:textId="6C35D5F7" w:rsidR="008D56CF" w:rsidRDefault="008D56CF" w:rsidP="00672B47"/>
    <w:p w14:paraId="685E4D1A" w14:textId="714CCC49" w:rsidR="008D56CF" w:rsidRPr="008D56CF" w:rsidRDefault="008D56CF" w:rsidP="00672B47">
      <w:pPr>
        <w:rPr>
          <w:b/>
        </w:rPr>
      </w:pPr>
      <w:r w:rsidRPr="008D56CF">
        <w:rPr>
          <w:b/>
        </w:rPr>
        <w:t>Proposal 2: No enhancements to GC-PDCCH indication are necessary for the start of a DL burst.</w:t>
      </w:r>
    </w:p>
    <w:p w14:paraId="2A4601DC" w14:textId="5AC219C8" w:rsidR="008D56CF" w:rsidRDefault="008D56CF" w:rsidP="00672B47"/>
    <w:p w14:paraId="6363E4B9" w14:textId="0444154C" w:rsidR="008D56CF" w:rsidRDefault="008D56CF" w:rsidP="00672B47">
      <w:r>
        <w:t xml:space="preserve">When GC-PDCCH is not configured for a UE, it is natural to fall back to </w:t>
      </w:r>
      <w:r w:rsidRPr="008D56CF">
        <w:t>implicit method</w:t>
      </w:r>
      <w:r>
        <w:t>s</w:t>
      </w:r>
      <w:r w:rsidRPr="008D56CF">
        <w:t xml:space="preserve"> base</w:t>
      </w:r>
      <w:r>
        <w:t>d on detection of NR signals such as DM</w:t>
      </w:r>
      <w:r w:rsidRPr="008D56CF">
        <w:t>RS</w:t>
      </w:r>
      <w:r>
        <w:t>. If GC-PDCCH is not received by the UE, then the AI on NR-U DL signals is already discussing what the UE behavior should be for DL burst detection, i.e., whether to make CORESET processing contingent on DL burst detection. The same principle applies here.</w:t>
      </w:r>
    </w:p>
    <w:p w14:paraId="42F1B6BD" w14:textId="4DFC37FE" w:rsidR="008D56CF" w:rsidRDefault="008D56CF" w:rsidP="00672B47"/>
    <w:p w14:paraId="5FFCE21D" w14:textId="0BB1897B" w:rsidR="008D56CF" w:rsidRPr="00C50056" w:rsidRDefault="008D56CF" w:rsidP="00672B47">
      <w:pPr>
        <w:rPr>
          <w:b/>
        </w:rPr>
      </w:pPr>
      <w:r w:rsidRPr="00C50056">
        <w:rPr>
          <w:b/>
        </w:rPr>
        <w:t xml:space="preserve">Proposal 3: </w:t>
      </w:r>
      <w:r w:rsidRPr="00C50056">
        <w:rPr>
          <w:b/>
        </w:rPr>
        <w:t xml:space="preserve">When GC-PDCCH is not configured for a UE, </w:t>
      </w:r>
      <w:r w:rsidRPr="00C50056">
        <w:rPr>
          <w:b/>
        </w:rPr>
        <w:t>adopt</w:t>
      </w:r>
      <w:r w:rsidRPr="00C50056">
        <w:rPr>
          <w:b/>
        </w:rPr>
        <w:t xml:space="preserve"> implicit methods based on detection of DMRS</w:t>
      </w:r>
      <w:r w:rsidRPr="00C50056">
        <w:rPr>
          <w:b/>
        </w:rPr>
        <w:t xml:space="preserve">. If GC-PDCCH is not received by a UE, then adopt </w:t>
      </w:r>
      <w:r w:rsidR="00C50056" w:rsidRPr="00C50056">
        <w:rPr>
          <w:b/>
        </w:rPr>
        <w:t>same behavior as DL burst detection.</w:t>
      </w:r>
    </w:p>
    <w:p w14:paraId="434D5212" w14:textId="77777777" w:rsidR="00E47678" w:rsidRDefault="00E47678" w:rsidP="00672B47"/>
    <w:p w14:paraId="03C89303" w14:textId="13AE4948" w:rsidR="00D45F7B" w:rsidRDefault="00D45F7B" w:rsidP="00D45F7B">
      <w:pPr>
        <w:pStyle w:val="Heading2"/>
      </w:pPr>
      <w:r>
        <w:t>PDCCH/CORESET</w:t>
      </w:r>
    </w:p>
    <w:p w14:paraId="1C2FAC5C" w14:textId="50FDE346" w:rsidR="0019008C" w:rsidRDefault="0019008C" w:rsidP="0019008C">
      <w:r>
        <w:t xml:space="preserve">Finally, consider the impact of wideband operation with discontiguous LBT sub-bands on PDCCH/CORESET design. The simplest design would be for each sub-band to be self-contained in terms of CORESET and PDCCH candidates, thereby avoiding the need for dynamic changes in control resources based on LBT outcome. </w:t>
      </w:r>
      <w:r w:rsidR="009E4614">
        <w:t xml:space="preserve">However, this implies that the number of CORESETs scales with the number of sub-bands, and UEs do not have a-priori information on CORESET presence at the start of a COT. </w:t>
      </w:r>
      <w:r w:rsidR="006D6476">
        <w:t xml:space="preserve">Also, given the approaching end of the WI, it is unlikely that there will be sufficient time to enhance control channel design for wideband modes 2 and 3. </w:t>
      </w:r>
      <w:r w:rsidR="009E4614">
        <w:t>Therefore, it is advisable to reuse the existing CORESET configuration as far as possible.</w:t>
      </w:r>
    </w:p>
    <w:p w14:paraId="376B5C13" w14:textId="069D1098" w:rsidR="0019008C" w:rsidRPr="0019008C" w:rsidRDefault="0019008C" w:rsidP="0019008C">
      <w:pPr>
        <w:rPr>
          <w:b/>
        </w:rPr>
      </w:pPr>
      <w:r w:rsidRPr="0019008C">
        <w:rPr>
          <w:b/>
        </w:rPr>
        <w:t xml:space="preserve">Proposal </w:t>
      </w:r>
      <w:r w:rsidR="00C50056">
        <w:rPr>
          <w:b/>
        </w:rPr>
        <w:t>4</w:t>
      </w:r>
      <w:r w:rsidRPr="0019008C">
        <w:rPr>
          <w:b/>
        </w:rPr>
        <w:t xml:space="preserve">: </w:t>
      </w:r>
      <w:r w:rsidR="009E4614">
        <w:rPr>
          <w:b/>
        </w:rPr>
        <w:t>Reuse existing multi-cluster CORESET configuration with potential enhancements to account for any</w:t>
      </w:r>
      <w:r w:rsidR="009E4614" w:rsidRPr="009E4614">
        <w:rPr>
          <w:b/>
        </w:rPr>
        <w:t xml:space="preserve"> guard-bands at the edge of each LBT bandwidth</w:t>
      </w:r>
      <w:r w:rsidR="009E4614">
        <w:rPr>
          <w:b/>
        </w:rPr>
        <w:t>.</w:t>
      </w:r>
      <w:r w:rsidRPr="0019008C">
        <w:rPr>
          <w:b/>
        </w:rPr>
        <w:t xml:space="preserve"> </w:t>
      </w:r>
    </w:p>
    <w:p w14:paraId="2A07AEC5" w14:textId="77777777" w:rsidR="00D45F7B" w:rsidRPr="00A22957" w:rsidRDefault="00D45F7B" w:rsidP="00CE01CF">
      <w:pPr>
        <w:rPr>
          <w:b/>
        </w:rPr>
      </w:pP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224F303E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</w:t>
      </w:r>
      <w:r w:rsidR="0067178A">
        <w:t xml:space="preserve"> </w:t>
      </w:r>
      <w:r w:rsidR="00B6030F">
        <w:t>wideband operation</w:t>
      </w:r>
      <w:r w:rsidR="00EE5745">
        <w:t xml:space="preserve"> for NR-U</w:t>
      </w:r>
      <w:r w:rsidR="00575CB3">
        <w:t>. The following proposals ensued.</w:t>
      </w:r>
    </w:p>
    <w:p w14:paraId="5DB61547" w14:textId="1E596001" w:rsidR="00C50056" w:rsidRDefault="00C50056" w:rsidP="00C50056">
      <w:pPr>
        <w:rPr>
          <w:b/>
          <w:lang w:eastAsia="ko-KR"/>
        </w:rPr>
      </w:pPr>
      <w:r w:rsidRPr="00F5600A">
        <w:rPr>
          <w:b/>
        </w:rPr>
        <w:t>Proposal 1</w:t>
      </w:r>
      <w:r w:rsidRPr="00090776">
        <w:rPr>
          <w:b/>
        </w:rPr>
        <w:t xml:space="preserve">: </w:t>
      </w:r>
      <w:r>
        <w:rPr>
          <w:b/>
        </w:rPr>
        <w:t>T</w:t>
      </w:r>
      <w:r w:rsidRPr="00090776">
        <w:rPr>
          <w:b/>
          <w:lang w:eastAsia="ko-KR"/>
        </w:rPr>
        <w:t>he GC-PDCCH indication time-domain validity spans</w:t>
      </w:r>
      <w:r>
        <w:rPr>
          <w:b/>
          <w:lang w:eastAsia="ko-KR"/>
        </w:rPr>
        <w:t xml:space="preserve"> a</w:t>
      </w:r>
      <w:r w:rsidRPr="00090776">
        <w:rPr>
          <w:b/>
          <w:lang w:eastAsia="ko-KR"/>
        </w:rPr>
        <w:t xml:space="preserve"> DL burst</w:t>
      </w:r>
      <w:r>
        <w:rPr>
          <w:b/>
          <w:lang w:eastAsia="ko-KR"/>
        </w:rPr>
        <w:t>(s)</w:t>
      </w:r>
      <w:r w:rsidRPr="00090776">
        <w:rPr>
          <w:b/>
          <w:lang w:eastAsia="ko-KR"/>
        </w:rPr>
        <w:t xml:space="preserve"> within a shared COT.</w:t>
      </w:r>
    </w:p>
    <w:p w14:paraId="4AC3549E" w14:textId="77777777" w:rsidR="00C50056" w:rsidRPr="008D56CF" w:rsidRDefault="00C50056" w:rsidP="00C50056">
      <w:pPr>
        <w:rPr>
          <w:b/>
        </w:rPr>
      </w:pPr>
      <w:r w:rsidRPr="008D56CF">
        <w:rPr>
          <w:b/>
        </w:rPr>
        <w:t>Proposal 2: No enhancements to GC-PDCCH indication are necessary for the start of a DL burst.</w:t>
      </w:r>
    </w:p>
    <w:p w14:paraId="7797F6E6" w14:textId="77777777" w:rsidR="00C50056" w:rsidRPr="00C50056" w:rsidRDefault="00C50056" w:rsidP="00C50056">
      <w:pPr>
        <w:rPr>
          <w:b/>
        </w:rPr>
      </w:pPr>
      <w:r w:rsidRPr="00C50056">
        <w:rPr>
          <w:b/>
        </w:rPr>
        <w:t>Proposal 3: When GC-PDCCH is not configured for a UE, adopt implicit methods based on detection of DMRS. If GC-PDCCH is not received by a UE, then adopt same behavior as DL burst detection.</w:t>
      </w:r>
    </w:p>
    <w:p w14:paraId="72A07941" w14:textId="553B443F" w:rsidR="009E4614" w:rsidRPr="0019008C" w:rsidRDefault="00C50056" w:rsidP="009E4614">
      <w:pPr>
        <w:rPr>
          <w:b/>
        </w:rPr>
      </w:pPr>
      <w:r>
        <w:rPr>
          <w:b/>
        </w:rPr>
        <w:t>Proposal 4</w:t>
      </w:r>
      <w:r w:rsidR="009E4614" w:rsidRPr="0019008C">
        <w:rPr>
          <w:b/>
        </w:rPr>
        <w:t xml:space="preserve">: </w:t>
      </w:r>
      <w:r w:rsidR="009E4614">
        <w:rPr>
          <w:b/>
        </w:rPr>
        <w:t>Reuse existing multi-cluster CORESET configuration with potential enhancements to account for any</w:t>
      </w:r>
      <w:r w:rsidR="009E4614" w:rsidRPr="009E4614">
        <w:rPr>
          <w:b/>
        </w:rPr>
        <w:t xml:space="preserve"> guard-bands at the edge of each LBT bandwidth</w:t>
      </w:r>
      <w:r w:rsidR="009E4614">
        <w:rPr>
          <w:b/>
        </w:rPr>
        <w:t>.</w:t>
      </w:r>
      <w:r w:rsidR="009E4614" w:rsidRPr="0019008C">
        <w:rPr>
          <w:b/>
        </w:rPr>
        <w:t xml:space="preserve"> 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1E4EA44E" w:rsidR="00257F9A" w:rsidRDefault="00F67C2E" w:rsidP="00F67C2E">
      <w:pPr>
        <w:pStyle w:val="Heading1"/>
      </w:pPr>
      <w:r>
        <w:t>Reference</w:t>
      </w:r>
      <w:r w:rsidR="00017FFD">
        <w:t>s</w:t>
      </w:r>
    </w:p>
    <w:p w14:paraId="209324DE" w14:textId="70AF120F" w:rsidR="00CE01CF" w:rsidRDefault="00CE01CF" w:rsidP="00575208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08164B93" w14:textId="4F75E704" w:rsidR="00017FFD" w:rsidRDefault="00017FFD" w:rsidP="00575208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2" w:name="_Ref878098"/>
      <w:r>
        <w:rPr>
          <w:rFonts w:eastAsia="SimSun"/>
          <w:color w:val="000000"/>
          <w:lang w:eastAsia="zh-CN"/>
        </w:rPr>
        <w:t>Chairman’s Notes, RAN1#</w:t>
      </w:r>
      <w:r w:rsidR="00CF0001">
        <w:rPr>
          <w:rFonts w:eastAsia="SimSun"/>
          <w:color w:val="000000"/>
          <w:lang w:eastAsia="zh-CN"/>
        </w:rPr>
        <w:t>97</w:t>
      </w:r>
      <w:r>
        <w:rPr>
          <w:rFonts w:eastAsia="SimSun"/>
          <w:color w:val="000000"/>
          <w:lang w:eastAsia="zh-CN"/>
        </w:rPr>
        <w:t xml:space="preserve">, </w:t>
      </w:r>
      <w:r w:rsidR="00CF0001">
        <w:rPr>
          <w:rFonts w:eastAsia="SimSun"/>
          <w:color w:val="000000"/>
          <w:lang w:eastAsia="zh-CN"/>
        </w:rPr>
        <w:t>May</w:t>
      </w:r>
      <w:r>
        <w:rPr>
          <w:rFonts w:eastAsia="SimSun"/>
          <w:color w:val="000000"/>
          <w:lang w:eastAsia="zh-CN"/>
        </w:rPr>
        <w:t xml:space="preserve"> 2019.</w:t>
      </w:r>
      <w:bookmarkEnd w:id="2"/>
    </w:p>
    <w:p w14:paraId="08DB8E72" w14:textId="0D4AF73B" w:rsidR="00B17EEB" w:rsidRDefault="00CF0001" w:rsidP="00575208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878141"/>
      <w:bookmarkStart w:id="4" w:name="_Ref4759825"/>
      <w:r>
        <w:rPr>
          <w:rFonts w:eastAsia="SimSun"/>
          <w:color w:val="000000"/>
          <w:lang w:eastAsia="zh-CN"/>
        </w:rPr>
        <w:t>R1-190</w:t>
      </w:r>
      <w:r w:rsidR="003A2DB2" w:rsidRPr="003A2DB2">
        <w:rPr>
          <w:rFonts w:eastAsia="SimSun"/>
          <w:color w:val="000000"/>
          <w:lang w:eastAsia="zh-CN"/>
        </w:rPr>
        <w:t>77</w:t>
      </w:r>
      <w:r>
        <w:rPr>
          <w:rFonts w:eastAsia="SimSun"/>
          <w:color w:val="000000"/>
          <w:lang w:eastAsia="zh-CN"/>
        </w:rPr>
        <w:t>6</w:t>
      </w:r>
      <w:r w:rsidR="003A2DB2" w:rsidRPr="003A2DB2">
        <w:rPr>
          <w:rFonts w:eastAsia="SimSun"/>
          <w:color w:val="000000"/>
          <w:lang w:eastAsia="zh-CN"/>
        </w:rPr>
        <w:t>9</w:t>
      </w:r>
      <w:r w:rsidR="00774275">
        <w:rPr>
          <w:rFonts w:eastAsia="SimSun"/>
          <w:color w:val="000000"/>
          <w:lang w:eastAsia="zh-CN"/>
        </w:rPr>
        <w:t xml:space="preserve">, </w:t>
      </w:r>
      <w:r w:rsidR="00774275" w:rsidRPr="00774275">
        <w:rPr>
          <w:rFonts w:eastAsia="SimSun"/>
          <w:color w:val="000000"/>
          <w:lang w:eastAsia="zh-CN"/>
        </w:rPr>
        <w:t xml:space="preserve">Summary #2 </w:t>
      </w:r>
      <w:r w:rsidR="00774275">
        <w:rPr>
          <w:rFonts w:eastAsia="SimSun"/>
          <w:color w:val="000000"/>
          <w:lang w:eastAsia="zh-CN"/>
        </w:rPr>
        <w:t xml:space="preserve">on wide-band operation for NR-U, </w:t>
      </w:r>
      <w:r w:rsidR="00774275" w:rsidRPr="00774275">
        <w:rPr>
          <w:rFonts w:eastAsia="SimSun"/>
          <w:color w:val="000000"/>
          <w:lang w:eastAsia="zh-CN"/>
        </w:rPr>
        <w:t>LG Electronic</w:t>
      </w:r>
      <w:bookmarkEnd w:id="3"/>
      <w:r w:rsidR="00774275">
        <w:rPr>
          <w:rFonts w:eastAsia="SimSun"/>
          <w:color w:val="000000"/>
          <w:lang w:eastAsia="zh-CN"/>
        </w:rPr>
        <w:t>s</w:t>
      </w:r>
      <w:bookmarkEnd w:id="4"/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  <w:bookmarkStart w:id="5" w:name="_GoBack"/>
      <w:bookmarkEnd w:id="5"/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6C2F7" w14:textId="77777777" w:rsidR="00E81A88" w:rsidRDefault="00E81A88" w:rsidP="00424124">
      <w:pPr>
        <w:spacing w:before="0" w:after="0"/>
      </w:pPr>
      <w:r>
        <w:separator/>
      </w:r>
    </w:p>
  </w:endnote>
  <w:endnote w:type="continuationSeparator" w:id="0">
    <w:p w14:paraId="59FD8EE4" w14:textId="77777777" w:rsidR="00E81A88" w:rsidRDefault="00E81A88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C33EF" w14:textId="77777777" w:rsidR="00E81A88" w:rsidRDefault="00E81A88" w:rsidP="00424124">
      <w:pPr>
        <w:spacing w:before="0" w:after="0"/>
      </w:pPr>
      <w:r>
        <w:separator/>
      </w:r>
    </w:p>
  </w:footnote>
  <w:footnote w:type="continuationSeparator" w:id="0">
    <w:p w14:paraId="6A46EAAE" w14:textId="77777777" w:rsidR="00E81A88" w:rsidRDefault="00E81A88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076DA"/>
    <w:rsid w:val="0001485D"/>
    <w:rsid w:val="000149EC"/>
    <w:rsid w:val="00017FF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0F03"/>
    <w:rsid w:val="00085800"/>
    <w:rsid w:val="0008625B"/>
    <w:rsid w:val="000865E3"/>
    <w:rsid w:val="00090776"/>
    <w:rsid w:val="000917C5"/>
    <w:rsid w:val="00093068"/>
    <w:rsid w:val="00096B50"/>
    <w:rsid w:val="000977EE"/>
    <w:rsid w:val="000A36A9"/>
    <w:rsid w:val="000A7025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25D11"/>
    <w:rsid w:val="00134683"/>
    <w:rsid w:val="00136949"/>
    <w:rsid w:val="00137904"/>
    <w:rsid w:val="0014178F"/>
    <w:rsid w:val="001417A8"/>
    <w:rsid w:val="001475FC"/>
    <w:rsid w:val="00153793"/>
    <w:rsid w:val="00156D74"/>
    <w:rsid w:val="00167D68"/>
    <w:rsid w:val="00172743"/>
    <w:rsid w:val="00174B69"/>
    <w:rsid w:val="001775C4"/>
    <w:rsid w:val="0018672E"/>
    <w:rsid w:val="0019008C"/>
    <w:rsid w:val="001937A9"/>
    <w:rsid w:val="001941FB"/>
    <w:rsid w:val="00197607"/>
    <w:rsid w:val="001A34BE"/>
    <w:rsid w:val="001A5A68"/>
    <w:rsid w:val="001A6212"/>
    <w:rsid w:val="001A75E0"/>
    <w:rsid w:val="001B5BB8"/>
    <w:rsid w:val="001B731B"/>
    <w:rsid w:val="001C07DC"/>
    <w:rsid w:val="001C1DB8"/>
    <w:rsid w:val="001C699C"/>
    <w:rsid w:val="001E0CE1"/>
    <w:rsid w:val="001E58CC"/>
    <w:rsid w:val="001F4CF3"/>
    <w:rsid w:val="001F59ED"/>
    <w:rsid w:val="001F6D27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4CFD"/>
    <w:rsid w:val="002759D2"/>
    <w:rsid w:val="00276ACF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E6B75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2409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2DB2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E7D22"/>
    <w:rsid w:val="003F0731"/>
    <w:rsid w:val="003F2A73"/>
    <w:rsid w:val="003F33B4"/>
    <w:rsid w:val="003F63ED"/>
    <w:rsid w:val="00401C75"/>
    <w:rsid w:val="00401FB8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27B4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84ABA"/>
    <w:rsid w:val="00493033"/>
    <w:rsid w:val="00493BD6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7D0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208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78A"/>
    <w:rsid w:val="00671A08"/>
    <w:rsid w:val="00672B47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19C4"/>
    <w:rsid w:val="006A2D2E"/>
    <w:rsid w:val="006A48DA"/>
    <w:rsid w:val="006A5891"/>
    <w:rsid w:val="006B5025"/>
    <w:rsid w:val="006B511E"/>
    <w:rsid w:val="006C452E"/>
    <w:rsid w:val="006C6A78"/>
    <w:rsid w:val="006C7DB5"/>
    <w:rsid w:val="006D0E79"/>
    <w:rsid w:val="006D5B36"/>
    <w:rsid w:val="006D647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15B93"/>
    <w:rsid w:val="00721AD7"/>
    <w:rsid w:val="007225EF"/>
    <w:rsid w:val="00722BA6"/>
    <w:rsid w:val="007231EB"/>
    <w:rsid w:val="00723DC5"/>
    <w:rsid w:val="00727952"/>
    <w:rsid w:val="007338D6"/>
    <w:rsid w:val="00740437"/>
    <w:rsid w:val="00740B36"/>
    <w:rsid w:val="00745EBA"/>
    <w:rsid w:val="00746DED"/>
    <w:rsid w:val="00747A6F"/>
    <w:rsid w:val="0075158D"/>
    <w:rsid w:val="0075622F"/>
    <w:rsid w:val="0076067D"/>
    <w:rsid w:val="0076281C"/>
    <w:rsid w:val="007632E9"/>
    <w:rsid w:val="00764288"/>
    <w:rsid w:val="0076440A"/>
    <w:rsid w:val="00774275"/>
    <w:rsid w:val="00774F2A"/>
    <w:rsid w:val="0078042F"/>
    <w:rsid w:val="00781A50"/>
    <w:rsid w:val="00782B9C"/>
    <w:rsid w:val="00782CDC"/>
    <w:rsid w:val="007839F9"/>
    <w:rsid w:val="00796763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15DB8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FBB"/>
    <w:rsid w:val="00862292"/>
    <w:rsid w:val="008661BA"/>
    <w:rsid w:val="00871CA8"/>
    <w:rsid w:val="00877963"/>
    <w:rsid w:val="00881613"/>
    <w:rsid w:val="008836DC"/>
    <w:rsid w:val="00885004"/>
    <w:rsid w:val="00887AB4"/>
    <w:rsid w:val="008900F6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6CF"/>
    <w:rsid w:val="008D5F8F"/>
    <w:rsid w:val="008D610B"/>
    <w:rsid w:val="008E14F3"/>
    <w:rsid w:val="008E1F61"/>
    <w:rsid w:val="008E5DA1"/>
    <w:rsid w:val="008F20FD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4614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030F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5A1B"/>
    <w:rsid w:val="00C1657F"/>
    <w:rsid w:val="00C1686B"/>
    <w:rsid w:val="00C218A9"/>
    <w:rsid w:val="00C2432D"/>
    <w:rsid w:val="00C263F4"/>
    <w:rsid w:val="00C34D56"/>
    <w:rsid w:val="00C4691B"/>
    <w:rsid w:val="00C47EE0"/>
    <w:rsid w:val="00C50056"/>
    <w:rsid w:val="00C53758"/>
    <w:rsid w:val="00C60992"/>
    <w:rsid w:val="00C60BA7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D74AC"/>
    <w:rsid w:val="00CE01CF"/>
    <w:rsid w:val="00CE0C9D"/>
    <w:rsid w:val="00CE1E0E"/>
    <w:rsid w:val="00CF0001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5F7B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265D"/>
    <w:rsid w:val="00D90E78"/>
    <w:rsid w:val="00D910ED"/>
    <w:rsid w:val="00D92B1D"/>
    <w:rsid w:val="00D960F4"/>
    <w:rsid w:val="00DB38BF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47678"/>
    <w:rsid w:val="00E576BD"/>
    <w:rsid w:val="00E57BE9"/>
    <w:rsid w:val="00E604D6"/>
    <w:rsid w:val="00E65A7F"/>
    <w:rsid w:val="00E67086"/>
    <w:rsid w:val="00E81A88"/>
    <w:rsid w:val="00E857E4"/>
    <w:rsid w:val="00E85B05"/>
    <w:rsid w:val="00E869F5"/>
    <w:rsid w:val="00E9139D"/>
    <w:rsid w:val="00E92487"/>
    <w:rsid w:val="00E93F9A"/>
    <w:rsid w:val="00E96471"/>
    <w:rsid w:val="00E96706"/>
    <w:rsid w:val="00E973F7"/>
    <w:rsid w:val="00EA217E"/>
    <w:rsid w:val="00EA3B02"/>
    <w:rsid w:val="00EA5A59"/>
    <w:rsid w:val="00EA6976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E5745"/>
    <w:rsid w:val="00EF61D1"/>
    <w:rsid w:val="00EF70F2"/>
    <w:rsid w:val="00F01D63"/>
    <w:rsid w:val="00F024F5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440E"/>
    <w:rsid w:val="00F5600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eastAsia="Times New Roman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eastAsia="Times New Roman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eastAsia="Times New Roman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eastAsia="Times New Roman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eastAsia="Times New Roman"/>
    </w:rPr>
  </w:style>
  <w:style w:type="character" w:customStyle="1" w:styleId="Heading6Char">
    <w:name w:val="Heading 6 Char"/>
    <w:aliases w:val="figure Char,h6 Char"/>
    <w:link w:val="Heading6"/>
    <w:rsid w:val="00424124"/>
    <w:rPr>
      <w:rFonts w:eastAsia="Times New Roman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eastAsia="Times New Roman"/>
    </w:rPr>
  </w:style>
  <w:style w:type="character" w:customStyle="1" w:styleId="Heading8Char">
    <w:name w:val="Heading 8 Char"/>
    <w:aliases w:val="acronym Char"/>
    <w:link w:val="Heading8"/>
    <w:rsid w:val="00424124"/>
    <w:rPr>
      <w:rFonts w:eastAsia="Times New Roman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eastAsia="Times New Roman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5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6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2826B-F96D-413F-BBA7-8895FC76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17</cp:revision>
  <cp:lastPrinted>2016-02-23T15:51:00Z</cp:lastPrinted>
  <dcterms:created xsi:type="dcterms:W3CDTF">2019-03-27T18:05:00Z</dcterms:created>
  <dcterms:modified xsi:type="dcterms:W3CDTF">2019-08-16T06:37:00Z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